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13" w:rsidRPr="00B87A13" w:rsidRDefault="00B87A13" w:rsidP="00B768A9">
      <w:pPr>
        <w:shd w:val="clear" w:color="auto" w:fill="FFFFFF"/>
        <w:spacing w:after="0"/>
        <w:jc w:val="center"/>
        <w:rPr>
          <w:rFonts w:ascii="Times New Roman" w:hAnsi="Times New Roman" w:cs="Times New Roman"/>
          <w:b/>
        </w:rPr>
      </w:pPr>
      <w:r w:rsidRPr="00B87A13">
        <w:rPr>
          <w:rFonts w:ascii="Times New Roman" w:hAnsi="Times New Roman" w:cs="Times New Roman"/>
          <w:b/>
        </w:rPr>
        <w:t>UNESCO</w:t>
      </w:r>
    </w:p>
    <w:p w:rsidR="00B87A13" w:rsidRPr="00B87A13" w:rsidRDefault="00B87A13" w:rsidP="00B768A9">
      <w:pPr>
        <w:shd w:val="clear" w:color="auto" w:fill="FFFFFF"/>
        <w:spacing w:after="0"/>
        <w:jc w:val="center"/>
        <w:rPr>
          <w:rFonts w:ascii="Times New Roman" w:hAnsi="Times New Roman" w:cs="Times New Roman"/>
          <w:b/>
        </w:rPr>
      </w:pPr>
    </w:p>
    <w:p w:rsidR="008D5C5B" w:rsidRPr="00B87A13" w:rsidRDefault="00B768A9" w:rsidP="00B768A9">
      <w:pPr>
        <w:shd w:val="clear" w:color="auto" w:fill="FFFFFF"/>
        <w:spacing w:after="0"/>
        <w:jc w:val="center"/>
        <w:rPr>
          <w:rFonts w:ascii="Times New Roman" w:hAnsi="Times New Roman" w:cs="Times New Roman"/>
          <w:b/>
        </w:rPr>
      </w:pPr>
      <w:r w:rsidRPr="00B87A13">
        <w:rPr>
          <w:rFonts w:ascii="Times New Roman" w:hAnsi="Times New Roman" w:cs="Times New Roman"/>
          <w:b/>
        </w:rPr>
        <w:t xml:space="preserve">Contribution to the </w:t>
      </w:r>
      <w:r w:rsidR="005651AF" w:rsidRPr="00B87A13">
        <w:rPr>
          <w:rFonts w:ascii="Times New Roman" w:hAnsi="Times New Roman" w:cs="Times New Roman"/>
          <w:b/>
        </w:rPr>
        <w:t xml:space="preserve">X Session of the </w:t>
      </w:r>
      <w:r w:rsidRPr="00B87A13">
        <w:rPr>
          <w:rFonts w:ascii="Times New Roman" w:hAnsi="Times New Roman" w:cs="Times New Roman"/>
          <w:b/>
        </w:rPr>
        <w:t xml:space="preserve">UN Open-Ended </w:t>
      </w:r>
      <w:r w:rsidR="005651AF" w:rsidRPr="00B87A13">
        <w:rPr>
          <w:rFonts w:ascii="Times New Roman" w:hAnsi="Times New Roman" w:cs="Times New Roman"/>
          <w:b/>
        </w:rPr>
        <w:t xml:space="preserve">Working </w:t>
      </w:r>
      <w:r w:rsidRPr="00B87A13">
        <w:rPr>
          <w:rFonts w:ascii="Times New Roman" w:hAnsi="Times New Roman" w:cs="Times New Roman"/>
          <w:b/>
        </w:rPr>
        <w:t>Group on Ageing</w:t>
      </w:r>
    </w:p>
    <w:p w:rsidR="00A32D6A" w:rsidRPr="00B87A13" w:rsidRDefault="00B87A13" w:rsidP="00B768A9">
      <w:pPr>
        <w:shd w:val="clear" w:color="auto" w:fill="FFFFFF"/>
        <w:spacing w:after="0"/>
        <w:jc w:val="center"/>
        <w:rPr>
          <w:rFonts w:ascii="Times New Roman" w:hAnsi="Times New Roman" w:cs="Times New Roman"/>
          <w:b/>
        </w:rPr>
      </w:pPr>
      <w:r w:rsidRPr="00B87A13">
        <w:rPr>
          <w:rFonts w:ascii="Times New Roman" w:hAnsi="Times New Roman" w:cs="Times New Roman"/>
          <w:b/>
        </w:rPr>
        <w:t>“</w:t>
      </w:r>
      <w:r w:rsidR="00A32D6A" w:rsidRPr="00B87A13">
        <w:rPr>
          <w:rFonts w:ascii="Times New Roman" w:hAnsi="Times New Roman" w:cs="Times New Roman"/>
          <w:b/>
        </w:rPr>
        <w:t>Protecting the right to lifelong learning and education for older persons</w:t>
      </w:r>
      <w:r w:rsidRPr="00B87A13">
        <w:rPr>
          <w:rFonts w:ascii="Times New Roman" w:hAnsi="Times New Roman" w:cs="Times New Roman"/>
          <w:b/>
        </w:rPr>
        <w:t>”</w:t>
      </w:r>
    </w:p>
    <w:p w:rsidR="00B87A13" w:rsidRPr="00B87A13" w:rsidRDefault="00B87A13" w:rsidP="00B768A9">
      <w:pPr>
        <w:shd w:val="clear" w:color="auto" w:fill="FFFFFF"/>
        <w:spacing w:after="0"/>
        <w:jc w:val="center"/>
        <w:rPr>
          <w:rFonts w:ascii="Times New Roman" w:hAnsi="Times New Roman" w:cs="Times New Roman"/>
          <w:b/>
        </w:rPr>
      </w:pPr>
    </w:p>
    <w:p w:rsidR="00B768A9" w:rsidRPr="00B87A13" w:rsidRDefault="006F324D" w:rsidP="00B768A9">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12</w:t>
      </w:r>
      <w:r w:rsidR="00B768A9" w:rsidRPr="00B87A13">
        <w:rPr>
          <w:rFonts w:ascii="Times New Roman" w:hAnsi="Times New Roman" w:cs="Times New Roman"/>
          <w:sz w:val="20"/>
          <w:szCs w:val="20"/>
        </w:rPr>
        <w:t xml:space="preserve"> </w:t>
      </w:r>
      <w:r>
        <w:rPr>
          <w:rFonts w:ascii="Times New Roman" w:hAnsi="Times New Roman" w:cs="Times New Roman"/>
          <w:sz w:val="20"/>
          <w:szCs w:val="20"/>
        </w:rPr>
        <w:t>February</w:t>
      </w:r>
      <w:r w:rsidR="00B768A9" w:rsidRPr="00B87A13">
        <w:rPr>
          <w:rFonts w:ascii="Times New Roman" w:hAnsi="Times New Roman" w:cs="Times New Roman"/>
          <w:sz w:val="20"/>
          <w:szCs w:val="20"/>
        </w:rPr>
        <w:t xml:space="preserve"> 2019</w:t>
      </w:r>
    </w:p>
    <w:p w:rsidR="00A35DC9" w:rsidRPr="00B87A13" w:rsidRDefault="00A35DC9" w:rsidP="00A32D6A">
      <w:pPr>
        <w:shd w:val="clear" w:color="auto" w:fill="FFFFFF"/>
        <w:rPr>
          <w:rFonts w:ascii="Times New Roman" w:hAnsi="Times New Roman" w:cs="Times New Roman"/>
        </w:rPr>
      </w:pPr>
    </w:p>
    <w:p w:rsidR="00A32D6A" w:rsidRPr="00B87A13" w:rsidRDefault="00A32D6A" w:rsidP="003111F4">
      <w:pPr>
        <w:pStyle w:val="ListParagraph"/>
        <w:numPr>
          <w:ilvl w:val="0"/>
          <w:numId w:val="2"/>
        </w:numPr>
        <w:shd w:val="clear" w:color="auto" w:fill="FFFFFF"/>
        <w:spacing w:line="360" w:lineRule="auto"/>
        <w:jc w:val="both"/>
        <w:rPr>
          <w:rFonts w:ascii="Times New Roman" w:hAnsi="Times New Roman" w:cs="Times New Roman"/>
          <w:lang w:val="en-GB" w:eastAsia="fr-FR"/>
        </w:rPr>
      </w:pPr>
      <w:r w:rsidRPr="00B87A13">
        <w:rPr>
          <w:rFonts w:ascii="Times New Roman" w:hAnsi="Times New Roman" w:cs="Times New Roman"/>
          <w:lang w:val="en-GB"/>
        </w:rPr>
        <w:t xml:space="preserve">The “full development of the human person” is a key objective of the right to education, assigned to it by the Universal Declaration of Human Rights. Protecting the human rights of older persons includes promoting their right to learn. Lifelong learning from a rights perspective </w:t>
      </w:r>
      <w:proofErr w:type="gramStart"/>
      <w:r w:rsidRPr="00B87A13">
        <w:rPr>
          <w:rFonts w:ascii="Times New Roman" w:hAnsi="Times New Roman" w:cs="Times New Roman"/>
          <w:lang w:val="en-GB"/>
        </w:rPr>
        <w:t>can be understood</w:t>
      </w:r>
      <w:proofErr w:type="gramEnd"/>
      <w:r w:rsidRPr="00B87A13">
        <w:rPr>
          <w:rFonts w:ascii="Times New Roman" w:hAnsi="Times New Roman" w:cs="Times New Roman"/>
          <w:lang w:val="en-GB"/>
        </w:rPr>
        <w:t xml:space="preserve"> as being integral</w:t>
      </w:r>
      <w:r w:rsidRPr="00B87A13">
        <w:rPr>
          <w:rFonts w:ascii="Times New Roman" w:hAnsi="Times New Roman" w:cs="Times New Roman"/>
          <w:lang w:val="en-GB" w:eastAsia="fr-FR"/>
        </w:rPr>
        <w:t xml:space="preserve"> part of the right to education. </w:t>
      </w:r>
    </w:p>
    <w:p w:rsidR="00B87A13" w:rsidRPr="00B87A13" w:rsidRDefault="00B87A13" w:rsidP="003111F4">
      <w:pPr>
        <w:pStyle w:val="ListParagraph"/>
        <w:shd w:val="clear" w:color="auto" w:fill="FFFFFF"/>
        <w:spacing w:line="360" w:lineRule="auto"/>
        <w:jc w:val="both"/>
        <w:rPr>
          <w:rFonts w:ascii="Times New Roman" w:hAnsi="Times New Roman" w:cs="Times New Roman"/>
          <w:lang w:val="en-GB" w:eastAsia="fr-FR"/>
        </w:rPr>
      </w:pPr>
    </w:p>
    <w:p w:rsidR="002C1BD2" w:rsidRPr="00B87A13" w:rsidRDefault="002C1BD2" w:rsidP="003111F4">
      <w:pPr>
        <w:pStyle w:val="ListParagraph"/>
        <w:numPr>
          <w:ilvl w:val="0"/>
          <w:numId w:val="2"/>
        </w:numPr>
        <w:spacing w:line="360" w:lineRule="auto"/>
        <w:jc w:val="both"/>
        <w:rPr>
          <w:rFonts w:ascii="Times New Roman" w:hAnsi="Times New Roman" w:cs="Times New Roman"/>
          <w:lang w:val="en-GB"/>
        </w:rPr>
      </w:pPr>
      <w:r w:rsidRPr="00B87A13">
        <w:rPr>
          <w:rFonts w:ascii="Times New Roman" w:hAnsi="Times New Roman" w:cs="Times New Roman"/>
          <w:lang w:val="en-GB"/>
        </w:rPr>
        <w:t xml:space="preserve">The </w:t>
      </w:r>
      <w:r w:rsidRPr="00B87A13">
        <w:rPr>
          <w:rFonts w:ascii="Times New Roman" w:hAnsi="Times New Roman" w:cs="Times New Roman"/>
          <w:b/>
          <w:lang w:val="en-GB"/>
        </w:rPr>
        <w:t>UNESCO Convention against Discrimination in Education</w:t>
      </w:r>
      <w:r w:rsidRPr="00B87A13">
        <w:rPr>
          <w:rFonts w:ascii="Times New Roman" w:hAnsi="Times New Roman" w:cs="Times New Roman"/>
          <w:lang w:val="en-GB"/>
        </w:rPr>
        <w:t xml:space="preserve"> (1960) lays down the obligation of States with regard to continuing education. It defines the term ‘discrimination’ as ‘depriving any person or group of persons of access to education of any type or at any level’. In Article </w:t>
      </w:r>
      <w:proofErr w:type="gramStart"/>
      <w:r w:rsidRPr="00B87A13">
        <w:rPr>
          <w:rFonts w:ascii="Times New Roman" w:hAnsi="Times New Roman" w:cs="Times New Roman"/>
          <w:lang w:val="en-GB"/>
        </w:rPr>
        <w:t>4c</w:t>
      </w:r>
      <w:proofErr w:type="gramEnd"/>
      <w:r w:rsidRPr="00B87A13">
        <w:rPr>
          <w:rFonts w:ascii="Times New Roman" w:hAnsi="Times New Roman" w:cs="Times New Roman"/>
          <w:lang w:val="en-GB"/>
        </w:rPr>
        <w:t xml:space="preserve"> it obliges states parties ‘to encourage and intensify by appropriate methods the education of persons who have not received any primary education or who have not completed the entire primary education course and the continuation of their education on the basis of individual capacity’.</w:t>
      </w:r>
    </w:p>
    <w:p w:rsidR="00B87A13" w:rsidRPr="00B87A13" w:rsidRDefault="00B87A13" w:rsidP="003111F4">
      <w:pPr>
        <w:pStyle w:val="ListParagraph"/>
        <w:spacing w:line="360" w:lineRule="auto"/>
        <w:rPr>
          <w:rFonts w:ascii="Times New Roman" w:hAnsi="Times New Roman" w:cs="Times New Roman"/>
          <w:lang w:val="en-GB"/>
        </w:rPr>
      </w:pPr>
    </w:p>
    <w:p w:rsidR="0069238A" w:rsidRPr="00B87A13" w:rsidRDefault="00A32D6A" w:rsidP="003111F4">
      <w:pPr>
        <w:pStyle w:val="ListParagraph"/>
        <w:numPr>
          <w:ilvl w:val="0"/>
          <w:numId w:val="2"/>
        </w:numPr>
        <w:spacing w:line="360" w:lineRule="auto"/>
        <w:jc w:val="both"/>
        <w:rPr>
          <w:rFonts w:ascii="Times New Roman" w:hAnsi="Times New Roman" w:cs="Times New Roman"/>
          <w:lang w:val="en-GB" w:eastAsia="fr-FR"/>
        </w:rPr>
      </w:pPr>
      <w:r w:rsidRPr="00B87A13">
        <w:rPr>
          <w:rFonts w:ascii="Times New Roman" w:hAnsi="Times New Roman" w:cs="Times New Roman"/>
          <w:lang w:val="en-GB"/>
        </w:rPr>
        <w:t xml:space="preserve">According to General Comment 13 on Article 13 of the </w:t>
      </w:r>
      <w:r w:rsidRPr="00B87A13">
        <w:rPr>
          <w:rFonts w:ascii="Times New Roman" w:hAnsi="Times New Roman" w:cs="Times New Roman"/>
          <w:b/>
          <w:lang w:val="en-GB"/>
        </w:rPr>
        <w:t>International Covenant on Economic, Social and Cultural Rights</w:t>
      </w:r>
      <w:r w:rsidRPr="00B87A13">
        <w:rPr>
          <w:rFonts w:ascii="Times New Roman" w:hAnsi="Times New Roman" w:cs="Times New Roman"/>
          <w:lang w:val="en-GB"/>
        </w:rPr>
        <w:t xml:space="preserve"> (1966)  t</w:t>
      </w:r>
      <w:r w:rsidRPr="00B87A13">
        <w:rPr>
          <w:rFonts w:ascii="Times New Roman" w:hAnsi="Times New Roman" w:cs="Times New Roman"/>
          <w:lang w:val="en-GB" w:eastAsia="fr-FR"/>
        </w:rPr>
        <w:t xml:space="preserve">he right to fundamental education extends to all those who have not yet satisfied their </w:t>
      </w:r>
      <w:r w:rsidR="002C1BD2" w:rsidRPr="00B87A13">
        <w:rPr>
          <w:rFonts w:ascii="Times New Roman" w:hAnsi="Times New Roman" w:cs="Times New Roman"/>
          <w:lang w:val="en-GB" w:eastAsia="fr-FR"/>
        </w:rPr>
        <w:t>‘</w:t>
      </w:r>
      <w:r w:rsidRPr="00B87A13">
        <w:rPr>
          <w:rFonts w:ascii="Times New Roman" w:hAnsi="Times New Roman" w:cs="Times New Roman"/>
          <w:lang w:val="en-GB" w:eastAsia="fr-FR"/>
        </w:rPr>
        <w:t>basic learning needs</w:t>
      </w:r>
      <w:r w:rsidR="002C1BD2" w:rsidRPr="00B87A13">
        <w:rPr>
          <w:rFonts w:ascii="Times New Roman" w:hAnsi="Times New Roman" w:cs="Times New Roman"/>
          <w:lang w:val="en-GB" w:eastAsia="fr-FR"/>
        </w:rPr>
        <w:t>’</w:t>
      </w:r>
      <w:r w:rsidRPr="00B87A13">
        <w:rPr>
          <w:rFonts w:ascii="Times New Roman" w:hAnsi="Times New Roman" w:cs="Times New Roman"/>
          <w:lang w:val="en-GB" w:eastAsia="fr-FR"/>
        </w:rPr>
        <w:t xml:space="preserve"> and its enjoyment includes older persons. Fundamental education, therefore, is an integral component of adult education and lifelong learning.</w:t>
      </w:r>
      <w:r w:rsidRPr="00B87A13">
        <w:rPr>
          <w:rStyle w:val="FootnoteReference"/>
          <w:rFonts w:ascii="Times New Roman" w:hAnsi="Times New Roman" w:cs="Times New Roman"/>
          <w:lang w:val="en-GB" w:eastAsia="fr-FR"/>
        </w:rPr>
        <w:footnoteReference w:id="1"/>
      </w:r>
      <w:r w:rsidRPr="00B87A13">
        <w:rPr>
          <w:rFonts w:ascii="Times New Roman" w:hAnsi="Times New Roman" w:cs="Times New Roman"/>
          <w:lang w:val="en-GB" w:eastAsia="fr-FR"/>
        </w:rPr>
        <w:t xml:space="preserve"> Additionally, </w:t>
      </w:r>
      <w:r w:rsidRPr="00B87A13">
        <w:rPr>
          <w:rFonts w:ascii="Times New Roman" w:hAnsi="Times New Roman" w:cs="Times New Roman"/>
          <w:lang w:val="en-GB"/>
        </w:rPr>
        <w:t xml:space="preserve">technical and vocational education </w:t>
      </w:r>
      <w:r w:rsidR="002C1BD2" w:rsidRPr="00B87A13">
        <w:rPr>
          <w:rFonts w:ascii="Times New Roman" w:hAnsi="Times New Roman" w:cs="Times New Roman"/>
          <w:lang w:val="en-GB"/>
        </w:rPr>
        <w:t>‘</w:t>
      </w:r>
      <w:r w:rsidRPr="00B87A13">
        <w:rPr>
          <w:rFonts w:ascii="Times New Roman" w:hAnsi="Times New Roman" w:cs="Times New Roman"/>
          <w:lang w:val="en-GB"/>
        </w:rPr>
        <w:t>p</w:t>
      </w:r>
      <w:r w:rsidRPr="00B87A13">
        <w:rPr>
          <w:rFonts w:ascii="Times New Roman" w:hAnsi="Times New Roman" w:cs="Times New Roman"/>
          <w:lang w:val="en-GB" w:eastAsia="fr-FR"/>
        </w:rPr>
        <w:t>rovides retraining for adults whose current knowledge and skills have become obsolete owing to technological, economic, employment, social or other changes</w:t>
      </w:r>
      <w:r w:rsidR="002C1BD2" w:rsidRPr="00B87A13">
        <w:rPr>
          <w:rFonts w:ascii="Times New Roman" w:hAnsi="Times New Roman" w:cs="Times New Roman"/>
          <w:lang w:val="en-GB" w:eastAsia="fr-FR"/>
        </w:rPr>
        <w:t>’</w:t>
      </w:r>
      <w:r w:rsidRPr="00B87A13">
        <w:rPr>
          <w:rStyle w:val="FootnoteReference"/>
          <w:rFonts w:ascii="Times New Roman" w:hAnsi="Times New Roman" w:cs="Times New Roman"/>
          <w:lang w:val="en-GB" w:eastAsia="fr-FR"/>
        </w:rPr>
        <w:footnoteReference w:id="2"/>
      </w:r>
      <w:r w:rsidRPr="00B87A13">
        <w:rPr>
          <w:rFonts w:ascii="Times New Roman" w:hAnsi="Times New Roman" w:cs="Times New Roman"/>
          <w:lang w:val="en-GB" w:eastAsia="fr-FR"/>
        </w:rPr>
        <w:t xml:space="preserve"> .</w:t>
      </w:r>
    </w:p>
    <w:p w:rsidR="00B87A13" w:rsidRPr="00B87A13" w:rsidRDefault="00B87A13" w:rsidP="003111F4">
      <w:pPr>
        <w:pStyle w:val="ListParagraph"/>
        <w:spacing w:line="360" w:lineRule="auto"/>
        <w:rPr>
          <w:rFonts w:ascii="Times New Roman" w:hAnsi="Times New Roman" w:cs="Times New Roman"/>
          <w:lang w:val="en-GB" w:eastAsia="fr-FR"/>
        </w:rPr>
      </w:pPr>
    </w:p>
    <w:p w:rsidR="00645B46" w:rsidRPr="00B87A13" w:rsidRDefault="00A32D6A" w:rsidP="003111F4">
      <w:pPr>
        <w:pStyle w:val="ListParagraph"/>
        <w:numPr>
          <w:ilvl w:val="0"/>
          <w:numId w:val="2"/>
        </w:numPr>
        <w:spacing w:line="360" w:lineRule="auto"/>
        <w:jc w:val="both"/>
        <w:rPr>
          <w:rFonts w:ascii="Times New Roman" w:hAnsi="Times New Roman" w:cs="Times New Roman"/>
          <w:lang w:val="en-GB"/>
        </w:rPr>
      </w:pPr>
      <w:r w:rsidRPr="00B87A13">
        <w:rPr>
          <w:rFonts w:ascii="Times New Roman" w:hAnsi="Times New Roman" w:cs="Times New Roman"/>
          <w:lang w:val="en-GB"/>
        </w:rPr>
        <w:t xml:space="preserve">The </w:t>
      </w:r>
      <w:r w:rsidRPr="00B87A13">
        <w:rPr>
          <w:rFonts w:ascii="Times New Roman" w:hAnsi="Times New Roman" w:cs="Times New Roman"/>
          <w:b/>
          <w:lang w:val="en-GB"/>
        </w:rPr>
        <w:t>UNESCO 2015 Recommendation on Adult Learning and Education</w:t>
      </w:r>
      <w:r w:rsidRPr="00B87A13">
        <w:rPr>
          <w:rFonts w:ascii="Times New Roman" w:hAnsi="Times New Roman" w:cs="Times New Roman"/>
          <w:lang w:val="en-GB"/>
        </w:rPr>
        <w:t xml:space="preserve"> calls upon Member States to promote access and broader participation to lifelong learning. </w:t>
      </w:r>
      <w:r w:rsidR="00645B46" w:rsidRPr="00B87A13">
        <w:rPr>
          <w:rFonts w:ascii="Times New Roman" w:hAnsi="Times New Roman" w:cs="Times New Roman"/>
          <w:lang w:val="en-GB"/>
        </w:rPr>
        <w:t>‘Lifelong learning is rooted in the integration of learning and living, covering learning activities for people of all ages in all life-wide contexts through a variety of modalities (formal, non-formal and informal) that together meet a wide range of learning needs and demands’</w:t>
      </w:r>
      <w:r w:rsidR="002C1BD2" w:rsidRPr="00B87A13">
        <w:rPr>
          <w:rFonts w:ascii="Times New Roman" w:hAnsi="Times New Roman" w:cs="Times New Roman"/>
          <w:lang w:val="en-GB"/>
        </w:rPr>
        <w:t>. T</w:t>
      </w:r>
      <w:r w:rsidRPr="00B87A13">
        <w:rPr>
          <w:rFonts w:ascii="Times New Roman" w:hAnsi="Times New Roman" w:cs="Times New Roman"/>
          <w:lang w:val="en-GB"/>
        </w:rPr>
        <w:t xml:space="preserve">his implies ‘tolerating no discrimination on any grounds, </w:t>
      </w:r>
      <w:r w:rsidRPr="00B87A13">
        <w:rPr>
          <w:rFonts w:ascii="Times New Roman" w:hAnsi="Times New Roman" w:cs="Times New Roman"/>
          <w:b/>
          <w:lang w:val="en-GB"/>
        </w:rPr>
        <w:t>including age,</w:t>
      </w:r>
      <w:r w:rsidRPr="00B87A13">
        <w:rPr>
          <w:rFonts w:ascii="Times New Roman" w:hAnsi="Times New Roman" w:cs="Times New Roman"/>
          <w:lang w:val="en-GB"/>
        </w:rPr>
        <w:t xml:space="preserve"> gender, ethnicity, migrant status, language, religion, disability, illness, rurality, sexual identity or orientation, poverty, displacement, imprisonment, occupation or professional’. Furthermore, it implies ‘devoting special attention and action to enhance access to quality learning for disadvantaged of vulnerable groups such as individuals with low levels of, or no, literacy and numeracy and </w:t>
      </w:r>
      <w:r w:rsidRPr="00B87A13">
        <w:rPr>
          <w:rFonts w:ascii="Times New Roman" w:hAnsi="Times New Roman" w:cs="Times New Roman"/>
          <w:lang w:val="en-GB"/>
        </w:rPr>
        <w:lastRenderedPageBreak/>
        <w:t xml:space="preserve">schooling, vulnerable youth, migrant workers, members of ethnic minorities, indigenous groups, individuals with disability, prisoners, </w:t>
      </w:r>
      <w:r w:rsidRPr="00B87A13">
        <w:rPr>
          <w:rFonts w:ascii="Times New Roman" w:hAnsi="Times New Roman" w:cs="Times New Roman"/>
          <w:b/>
          <w:lang w:val="en-GB"/>
        </w:rPr>
        <w:t>the elderly,</w:t>
      </w:r>
      <w:r w:rsidRPr="00B87A13">
        <w:rPr>
          <w:rFonts w:ascii="Times New Roman" w:hAnsi="Times New Roman" w:cs="Times New Roman"/>
          <w:lang w:val="en-GB"/>
        </w:rPr>
        <w:t xml:space="preserve"> people affected by conflict or disasters, refugees, stateless or displaced persons.’</w:t>
      </w:r>
      <w:r w:rsidR="008D5C5B" w:rsidRPr="00B87A13">
        <w:rPr>
          <w:rFonts w:ascii="Times New Roman" w:hAnsi="Times New Roman" w:cs="Times New Roman"/>
          <w:lang w:val="en-GB"/>
        </w:rPr>
        <w:t xml:space="preserve"> It also recommends</w:t>
      </w:r>
      <w:r w:rsidRPr="00B87A13">
        <w:rPr>
          <w:rFonts w:ascii="Times New Roman" w:hAnsi="Times New Roman" w:cs="Times New Roman"/>
          <w:lang w:val="en-GB" w:eastAsia="fr-FR"/>
        </w:rPr>
        <w:t xml:space="preserve"> Member </w:t>
      </w:r>
      <w:r w:rsidRPr="00B87A13">
        <w:rPr>
          <w:rFonts w:ascii="Times New Roman" w:hAnsi="Times New Roman" w:cs="Times New Roman"/>
          <w:lang w:val="en-GB"/>
        </w:rPr>
        <w:t>States to develop, according to their specific conditions, governing structures and constitutional provisions, comprehensive, inclusive and integrated policies for adult learning and education in its various forms.</w:t>
      </w:r>
      <w:r w:rsidRPr="00B87A13">
        <w:rPr>
          <w:rStyle w:val="FootnoteReference"/>
          <w:rFonts w:ascii="Times New Roman" w:hAnsi="Times New Roman" w:cs="Times New Roman"/>
          <w:lang w:val="en-GB"/>
        </w:rPr>
        <w:footnoteReference w:id="3"/>
      </w:r>
      <w:r w:rsidRPr="00B87A13">
        <w:rPr>
          <w:rFonts w:ascii="Times New Roman" w:hAnsi="Times New Roman" w:cs="Times New Roman"/>
          <w:lang w:val="en-GB"/>
        </w:rPr>
        <w:t xml:space="preserve"> </w:t>
      </w:r>
    </w:p>
    <w:p w:rsidR="00B87A13" w:rsidRPr="00B87A13" w:rsidRDefault="00B87A13" w:rsidP="003111F4">
      <w:pPr>
        <w:pStyle w:val="ListParagraph"/>
        <w:spacing w:line="360" w:lineRule="auto"/>
        <w:jc w:val="both"/>
        <w:rPr>
          <w:rFonts w:ascii="Times New Roman" w:hAnsi="Times New Roman" w:cs="Times New Roman"/>
          <w:lang w:val="en-GB"/>
        </w:rPr>
      </w:pPr>
    </w:p>
    <w:p w:rsidR="00A32D6A" w:rsidRPr="00B87A13" w:rsidRDefault="00A32D6A" w:rsidP="003111F4">
      <w:pPr>
        <w:pStyle w:val="ListParagraph"/>
        <w:numPr>
          <w:ilvl w:val="0"/>
          <w:numId w:val="2"/>
        </w:numPr>
        <w:spacing w:line="360" w:lineRule="auto"/>
        <w:jc w:val="both"/>
        <w:rPr>
          <w:rFonts w:ascii="Times New Roman" w:hAnsi="Times New Roman" w:cs="Times New Roman"/>
          <w:lang w:val="en-GB"/>
        </w:rPr>
      </w:pPr>
      <w:r w:rsidRPr="00B87A13">
        <w:rPr>
          <w:rFonts w:ascii="Times New Roman" w:hAnsi="Times New Roman" w:cs="Times New Roman"/>
          <w:lang w:val="en-GB"/>
        </w:rPr>
        <w:t>In this respect</w:t>
      </w:r>
      <w:r w:rsidR="00D26B1A" w:rsidRPr="00B87A13">
        <w:rPr>
          <w:rFonts w:ascii="Times New Roman" w:hAnsi="Times New Roman" w:cs="Times New Roman"/>
          <w:lang w:val="en-GB"/>
        </w:rPr>
        <w:t>,</w:t>
      </w:r>
      <w:r w:rsidRPr="00B87A13">
        <w:rPr>
          <w:rFonts w:ascii="Times New Roman" w:hAnsi="Times New Roman" w:cs="Times New Roman"/>
          <w:lang w:val="en-GB"/>
        </w:rPr>
        <w:t xml:space="preserve"> it is important that States develop a normative and policy framework that reflects the right to education, learning and training. Everyone, including older persons, needs to be guaranteed equal opportunity for lifelong education and guarantee, support, and promote comprehensive, quality, lifelong education for all, facilitating continuing education, through lifelong learning services and initiatives. </w:t>
      </w:r>
    </w:p>
    <w:p w:rsidR="00A32D6A" w:rsidRPr="00B87A13" w:rsidRDefault="00A32D6A" w:rsidP="003111F4">
      <w:pPr>
        <w:pStyle w:val="ListParagraph"/>
        <w:numPr>
          <w:ilvl w:val="0"/>
          <w:numId w:val="1"/>
        </w:numPr>
        <w:spacing w:line="360" w:lineRule="auto"/>
        <w:jc w:val="both"/>
        <w:rPr>
          <w:rFonts w:ascii="Times New Roman" w:hAnsi="Times New Roman" w:cs="Times New Roman"/>
          <w:lang w:val="en-GB"/>
        </w:rPr>
      </w:pPr>
      <w:r w:rsidRPr="00B87A13">
        <w:rPr>
          <w:rFonts w:ascii="Times New Roman" w:hAnsi="Times New Roman" w:cs="Times New Roman"/>
          <w:lang w:val="en-GB"/>
        </w:rPr>
        <w:t>Persons above compulsory school age who require primary and secondary education have the right to such education and the education shall be adapted to i</w:t>
      </w:r>
      <w:r w:rsidR="008D5C5B" w:rsidRPr="00B87A13">
        <w:rPr>
          <w:rFonts w:ascii="Times New Roman" w:hAnsi="Times New Roman" w:cs="Times New Roman"/>
          <w:lang w:val="en-GB"/>
        </w:rPr>
        <w:t>ndividual needs;</w:t>
      </w:r>
    </w:p>
    <w:p w:rsidR="00A32D6A" w:rsidRPr="00B87A13" w:rsidRDefault="008D5C5B" w:rsidP="003111F4">
      <w:pPr>
        <w:pStyle w:val="ListParagraph"/>
        <w:numPr>
          <w:ilvl w:val="0"/>
          <w:numId w:val="1"/>
        </w:numPr>
        <w:spacing w:line="360" w:lineRule="auto"/>
        <w:jc w:val="both"/>
        <w:rPr>
          <w:rFonts w:ascii="Times New Roman" w:hAnsi="Times New Roman" w:cs="Times New Roman"/>
          <w:lang w:val="en-GB"/>
        </w:rPr>
      </w:pPr>
      <w:r w:rsidRPr="00B87A13">
        <w:rPr>
          <w:rFonts w:ascii="Times New Roman" w:hAnsi="Times New Roman" w:cs="Times New Roman"/>
          <w:lang w:val="en-GB"/>
        </w:rPr>
        <w:t>L</w:t>
      </w:r>
      <w:r w:rsidR="00A32D6A" w:rsidRPr="00B87A13">
        <w:rPr>
          <w:rFonts w:ascii="Times New Roman" w:hAnsi="Times New Roman" w:cs="Times New Roman"/>
          <w:lang w:val="en-GB"/>
        </w:rPr>
        <w:t>iteracy and basic practical education comprises reading, writing, counting and learning knowledge of basic practical skills, vocational and professional occupational skills that shall be provided in a balanced and equitable manner for the deprived adults, who are left behin</w:t>
      </w:r>
      <w:r w:rsidRPr="00B87A13">
        <w:rPr>
          <w:rFonts w:ascii="Times New Roman" w:hAnsi="Times New Roman" w:cs="Times New Roman"/>
          <w:lang w:val="en-GB"/>
        </w:rPr>
        <w:t>d from educational institutions;</w:t>
      </w:r>
    </w:p>
    <w:p w:rsidR="00A32D6A" w:rsidRPr="00B87A13" w:rsidRDefault="008D5C5B" w:rsidP="003111F4">
      <w:pPr>
        <w:pStyle w:val="ListParagraph"/>
        <w:numPr>
          <w:ilvl w:val="0"/>
          <w:numId w:val="1"/>
        </w:numPr>
        <w:spacing w:line="360" w:lineRule="auto"/>
        <w:jc w:val="both"/>
        <w:rPr>
          <w:rFonts w:ascii="Times New Roman" w:hAnsi="Times New Roman" w:cs="Times New Roman"/>
          <w:lang w:val="en-GB"/>
        </w:rPr>
      </w:pPr>
      <w:r w:rsidRPr="00B87A13">
        <w:rPr>
          <w:rFonts w:ascii="Times New Roman" w:hAnsi="Times New Roman" w:cs="Times New Roman"/>
          <w:lang w:val="en-GB"/>
        </w:rPr>
        <w:t>T</w:t>
      </w:r>
      <w:r w:rsidR="00A32D6A" w:rsidRPr="00B87A13">
        <w:rPr>
          <w:rFonts w:ascii="Times New Roman" w:hAnsi="Times New Roman" w:cs="Times New Roman"/>
          <w:lang w:val="en-GB"/>
        </w:rPr>
        <w:t>he objective of the literacy and basic practical education are: - provide grounds for reading, writing, counting and acquiring knowledge in basic practical and vocational skills for illiterate and less literate and prepare them for continuing education, and provide the opportunity for continuing educati</w:t>
      </w:r>
      <w:r w:rsidRPr="00B87A13">
        <w:rPr>
          <w:rFonts w:ascii="Times New Roman" w:hAnsi="Times New Roman" w:cs="Times New Roman"/>
          <w:lang w:val="en-GB"/>
        </w:rPr>
        <w:t>on for adults and older persons;</w:t>
      </w:r>
    </w:p>
    <w:p w:rsidR="00A32D6A" w:rsidRDefault="008D5C5B" w:rsidP="003111F4">
      <w:pPr>
        <w:pStyle w:val="ListParagraph"/>
        <w:numPr>
          <w:ilvl w:val="0"/>
          <w:numId w:val="1"/>
        </w:numPr>
        <w:spacing w:line="360" w:lineRule="auto"/>
        <w:jc w:val="both"/>
        <w:rPr>
          <w:rFonts w:ascii="Times New Roman" w:hAnsi="Times New Roman" w:cs="Times New Roman"/>
          <w:lang w:val="en-GB"/>
        </w:rPr>
      </w:pPr>
      <w:r w:rsidRPr="00B87A13">
        <w:rPr>
          <w:rFonts w:ascii="Times New Roman" w:hAnsi="Times New Roman" w:cs="Times New Roman"/>
          <w:lang w:val="en-GB"/>
        </w:rPr>
        <w:t>L</w:t>
      </w:r>
      <w:r w:rsidR="00A32D6A" w:rsidRPr="00B87A13">
        <w:rPr>
          <w:rFonts w:ascii="Times New Roman" w:hAnsi="Times New Roman" w:cs="Times New Roman"/>
          <w:lang w:val="en-GB"/>
        </w:rPr>
        <w:t>ifelong professional training gives every person the right, all throughout their life, irrespective of their status, to acquire and upgrade their knowledge and competencies in support of their professional or personal development and qualifications, and to re-orient their paths in accordance with their personal needs or in line with the changing environmental, technological and social environment.</w:t>
      </w:r>
    </w:p>
    <w:p w:rsidR="00B87A13" w:rsidRPr="00B87A13" w:rsidRDefault="00B87A13" w:rsidP="003111F4">
      <w:pPr>
        <w:pStyle w:val="ListParagraph"/>
        <w:spacing w:line="360" w:lineRule="auto"/>
        <w:ind w:left="1080"/>
        <w:jc w:val="both"/>
        <w:rPr>
          <w:rFonts w:ascii="Times New Roman" w:hAnsi="Times New Roman" w:cs="Times New Roman"/>
          <w:lang w:val="en-GB"/>
        </w:rPr>
      </w:pPr>
    </w:p>
    <w:p w:rsidR="00222179" w:rsidRPr="00B87A13" w:rsidRDefault="00064738" w:rsidP="003111F4">
      <w:pPr>
        <w:pStyle w:val="ListParagraph"/>
        <w:numPr>
          <w:ilvl w:val="0"/>
          <w:numId w:val="2"/>
        </w:numPr>
        <w:spacing w:line="360" w:lineRule="auto"/>
        <w:jc w:val="both"/>
        <w:rPr>
          <w:rFonts w:ascii="Times New Roman" w:hAnsi="Times New Roman" w:cs="Times New Roman"/>
          <w:lang w:val="en-GB"/>
        </w:rPr>
      </w:pPr>
      <w:r w:rsidRPr="00B87A13">
        <w:rPr>
          <w:rFonts w:ascii="Times New Roman" w:hAnsi="Times New Roman" w:cs="Times New Roman"/>
          <w:lang w:val="en-GB"/>
        </w:rPr>
        <w:t xml:space="preserve">The </w:t>
      </w:r>
      <w:r w:rsidRPr="00B87A13">
        <w:rPr>
          <w:rFonts w:ascii="Times New Roman" w:hAnsi="Times New Roman" w:cs="Times New Roman"/>
          <w:b/>
          <w:lang w:val="en-GB"/>
        </w:rPr>
        <w:t>UNESCO 2015 Recommendation concerning Technical and Vocational Education and Training</w:t>
      </w:r>
      <w:r w:rsidRPr="00B87A13">
        <w:rPr>
          <w:rFonts w:ascii="Times New Roman" w:hAnsi="Times New Roman" w:cs="Times New Roman"/>
          <w:lang w:val="en-GB"/>
        </w:rPr>
        <w:t>, aims ‘to empower individuals and promote employment, decent work and lifelong learning’.  It recommends that Member States ‘should take measures to ensure that all youth and adults have equal opportunities to learn, develop and enhance their knowledge, skills and competencies by transforming and expanding TVET in all its forms to address the great diversity of learning and training needs’</w:t>
      </w:r>
      <w:r w:rsidRPr="00B87A13">
        <w:rPr>
          <w:rStyle w:val="FootnoteReference"/>
          <w:rFonts w:ascii="Times New Roman" w:hAnsi="Times New Roman" w:cs="Times New Roman"/>
          <w:lang w:val="en-GB"/>
        </w:rPr>
        <w:footnoteReference w:id="4"/>
      </w:r>
      <w:r w:rsidRPr="00B87A13">
        <w:rPr>
          <w:rFonts w:ascii="Times New Roman" w:hAnsi="Times New Roman" w:cs="Times New Roman"/>
          <w:lang w:val="en-GB"/>
        </w:rPr>
        <w:t>.</w:t>
      </w:r>
    </w:p>
    <w:p w:rsidR="00B87A13" w:rsidRPr="00B87A13" w:rsidRDefault="00B87A13" w:rsidP="003111F4">
      <w:pPr>
        <w:pStyle w:val="ListParagraph"/>
        <w:spacing w:line="360" w:lineRule="auto"/>
        <w:jc w:val="both"/>
        <w:rPr>
          <w:rFonts w:ascii="Times New Roman" w:hAnsi="Times New Roman" w:cs="Times New Roman"/>
          <w:lang w:val="en-GB"/>
        </w:rPr>
      </w:pPr>
    </w:p>
    <w:p w:rsidR="00064738" w:rsidRPr="00B87A13" w:rsidRDefault="00222179" w:rsidP="003111F4">
      <w:pPr>
        <w:pStyle w:val="ListParagraph"/>
        <w:numPr>
          <w:ilvl w:val="0"/>
          <w:numId w:val="2"/>
        </w:numPr>
        <w:spacing w:line="360" w:lineRule="auto"/>
        <w:jc w:val="both"/>
        <w:rPr>
          <w:rFonts w:ascii="Times New Roman" w:hAnsi="Times New Roman" w:cs="Times New Roman"/>
          <w:lang w:val="en-GB"/>
        </w:rPr>
      </w:pPr>
      <w:r w:rsidRPr="00B87A13">
        <w:rPr>
          <w:rFonts w:ascii="Times New Roman" w:hAnsi="Times New Roman" w:cs="Times New Roman"/>
          <w:lang w:val="en-GB"/>
        </w:rPr>
        <w:t xml:space="preserve">Older persons have multiple challenges with regard to the enjoyment of all levels of quality education, training, lifelong learning and capacity building services. Ageing often intersects with other forms of vulnerability and social exclusion such as illness, disability and poverty. Older persons may face physical barriers to learning due to location, transportation and accessibility and often lack the skills needed to benefit fully from digital and online lifelong learning opportunities. </w:t>
      </w:r>
    </w:p>
    <w:p w:rsidR="00B87A13" w:rsidRPr="00B87A13" w:rsidRDefault="00B87A13" w:rsidP="003111F4">
      <w:pPr>
        <w:pStyle w:val="ListParagraph"/>
        <w:spacing w:line="360" w:lineRule="auto"/>
        <w:rPr>
          <w:rFonts w:ascii="Times New Roman" w:hAnsi="Times New Roman" w:cs="Times New Roman"/>
          <w:lang w:val="en-GB"/>
        </w:rPr>
      </w:pPr>
    </w:p>
    <w:p w:rsidR="00967E5A" w:rsidRPr="00B87A13" w:rsidRDefault="00A32D6A" w:rsidP="003111F4">
      <w:pPr>
        <w:pStyle w:val="ListParagraph"/>
        <w:numPr>
          <w:ilvl w:val="0"/>
          <w:numId w:val="2"/>
        </w:numPr>
        <w:spacing w:line="360" w:lineRule="auto"/>
        <w:jc w:val="both"/>
        <w:rPr>
          <w:rFonts w:ascii="Times New Roman" w:hAnsi="Times New Roman" w:cs="Times New Roman"/>
          <w:lang w:val="en-GB"/>
        </w:rPr>
      </w:pPr>
      <w:r w:rsidRPr="00B87A13">
        <w:rPr>
          <w:rFonts w:ascii="Times New Roman" w:hAnsi="Times New Roman" w:cs="Times New Roman"/>
          <w:lang w:val="en-GB"/>
        </w:rPr>
        <w:t>As an integral part of the 2030 Agenda for Sustainable Development, SDG4 commits Member States to ‘ensure inclusive and equitable quality education and promote lifelong learning opportunitie</w:t>
      </w:r>
      <w:r w:rsidR="008D5C5B" w:rsidRPr="00B87A13">
        <w:rPr>
          <w:rFonts w:ascii="Times New Roman" w:hAnsi="Times New Roman" w:cs="Times New Roman"/>
          <w:lang w:val="en-GB"/>
        </w:rPr>
        <w:t>s for all’. Indeed, t</w:t>
      </w:r>
      <w:r w:rsidRPr="00B87A13">
        <w:rPr>
          <w:rFonts w:ascii="Times New Roman" w:hAnsi="Times New Roman" w:cs="Times New Roman"/>
          <w:lang w:val="en-GB"/>
        </w:rPr>
        <w:t xml:space="preserve">he </w:t>
      </w:r>
      <w:r w:rsidRPr="00B87A13">
        <w:rPr>
          <w:rFonts w:ascii="Times New Roman" w:hAnsi="Times New Roman" w:cs="Times New Roman"/>
          <w:b/>
          <w:lang w:val="en-GB"/>
        </w:rPr>
        <w:t>Education 2030 Framework for Action</w:t>
      </w:r>
      <w:r w:rsidRPr="00B87A13">
        <w:rPr>
          <w:rFonts w:ascii="Times New Roman" w:hAnsi="Times New Roman" w:cs="Times New Roman"/>
          <w:lang w:val="en-GB"/>
        </w:rPr>
        <w:t xml:space="preserve">, </w:t>
      </w:r>
      <w:r w:rsidR="00064738" w:rsidRPr="00B87A13">
        <w:rPr>
          <w:rFonts w:ascii="Times New Roman" w:hAnsi="Times New Roman" w:cs="Times New Roman"/>
          <w:lang w:val="en-GB"/>
        </w:rPr>
        <w:t xml:space="preserve">explains that ‘the right to education begins at birth and continues throughout life; therefore, the concept of lifelong learning guides SDG4-Education 2030.’ It </w:t>
      </w:r>
      <w:r w:rsidRPr="00B87A13">
        <w:rPr>
          <w:rFonts w:ascii="Times New Roman" w:hAnsi="Times New Roman" w:cs="Times New Roman"/>
          <w:lang w:val="en-GB"/>
        </w:rPr>
        <w:t>promot</w:t>
      </w:r>
      <w:r w:rsidR="00064738" w:rsidRPr="00B87A13">
        <w:rPr>
          <w:rFonts w:ascii="Times New Roman" w:hAnsi="Times New Roman" w:cs="Times New Roman"/>
          <w:lang w:val="en-GB"/>
        </w:rPr>
        <w:t>es</w:t>
      </w:r>
      <w:r w:rsidRPr="00B87A13">
        <w:rPr>
          <w:rFonts w:ascii="Times New Roman" w:hAnsi="Times New Roman" w:cs="Times New Roman"/>
          <w:lang w:val="en-GB"/>
        </w:rPr>
        <w:t xml:space="preserve"> lifelong learning as a strategic approach to achieve SDG4</w:t>
      </w:r>
      <w:r w:rsidR="00967E5A" w:rsidRPr="00B87A13">
        <w:rPr>
          <w:rFonts w:ascii="Times New Roman" w:hAnsi="Times New Roman" w:cs="Times New Roman"/>
          <w:lang w:val="en-GB"/>
        </w:rPr>
        <w:t>-Education 2030.</w:t>
      </w:r>
    </w:p>
    <w:p w:rsidR="00B87A13" w:rsidRPr="00B87A13" w:rsidRDefault="00B87A13" w:rsidP="003111F4">
      <w:pPr>
        <w:pStyle w:val="ListParagraph"/>
        <w:spacing w:line="360" w:lineRule="auto"/>
        <w:rPr>
          <w:rFonts w:ascii="Times New Roman" w:hAnsi="Times New Roman" w:cs="Times New Roman"/>
          <w:lang w:val="en-GB"/>
        </w:rPr>
      </w:pPr>
    </w:p>
    <w:p w:rsidR="00A32D6A" w:rsidRPr="00B87A13" w:rsidRDefault="00967E5A" w:rsidP="003111F4">
      <w:pPr>
        <w:pStyle w:val="ListParagraph"/>
        <w:numPr>
          <w:ilvl w:val="0"/>
          <w:numId w:val="2"/>
        </w:numPr>
        <w:spacing w:line="360" w:lineRule="auto"/>
        <w:jc w:val="both"/>
        <w:rPr>
          <w:rFonts w:ascii="Times New Roman" w:hAnsi="Times New Roman" w:cs="Times New Roman"/>
          <w:lang w:val="en-GB"/>
        </w:rPr>
      </w:pPr>
      <w:r w:rsidRPr="00B87A13">
        <w:rPr>
          <w:rFonts w:ascii="Times New Roman" w:hAnsi="Times New Roman" w:cs="Times New Roman"/>
          <w:lang w:val="en-GB"/>
        </w:rPr>
        <w:t xml:space="preserve">The next </w:t>
      </w:r>
      <w:r w:rsidRPr="00B87A13">
        <w:rPr>
          <w:rFonts w:ascii="Times New Roman" w:hAnsi="Times New Roman" w:cs="Times New Roman"/>
          <w:b/>
          <w:lang w:val="en-GB"/>
        </w:rPr>
        <w:t>International Conference on Adult Learning</w:t>
      </w:r>
      <w:r w:rsidRPr="00B87A13">
        <w:rPr>
          <w:rFonts w:ascii="Times New Roman" w:hAnsi="Times New Roman" w:cs="Times New Roman"/>
          <w:lang w:val="en-GB"/>
        </w:rPr>
        <w:t xml:space="preserve"> (CONFINTEA VII) will take place in 2022. Held every 12 years, this milestone event will provide strategic guidance for the global development of adult learning and education from a lifelong learning perspective and show the contributions </w:t>
      </w:r>
      <w:r w:rsidR="004A3A33" w:rsidRPr="00B87A13">
        <w:rPr>
          <w:rFonts w:ascii="Times New Roman" w:hAnsi="Times New Roman" w:cs="Times New Roman"/>
          <w:lang w:val="en-GB"/>
        </w:rPr>
        <w:t>adult learning and education</w:t>
      </w:r>
      <w:r w:rsidRPr="00B87A13">
        <w:rPr>
          <w:rFonts w:ascii="Times New Roman" w:hAnsi="Times New Roman" w:cs="Times New Roman"/>
          <w:lang w:val="en-GB"/>
        </w:rPr>
        <w:t xml:space="preserve"> make to the 2030 Agenda for Sustainable Development. Through CONFINTEA, UNESCO Member States commit to strengthen adult learning and education and to monitor and report on national progress on a regular basis.</w:t>
      </w:r>
    </w:p>
    <w:p w:rsidR="00B87A13" w:rsidRPr="00B87A13" w:rsidRDefault="00B87A13" w:rsidP="003111F4">
      <w:pPr>
        <w:pStyle w:val="ListParagraph"/>
        <w:spacing w:line="360" w:lineRule="auto"/>
        <w:rPr>
          <w:rFonts w:ascii="Times New Roman" w:hAnsi="Times New Roman" w:cs="Times New Roman"/>
          <w:lang w:val="en-GB"/>
        </w:rPr>
      </w:pPr>
    </w:p>
    <w:p w:rsidR="008D5C5B" w:rsidRPr="00B87A13" w:rsidRDefault="008D5C5B" w:rsidP="003111F4">
      <w:pPr>
        <w:pStyle w:val="ListParagraph"/>
        <w:numPr>
          <w:ilvl w:val="0"/>
          <w:numId w:val="2"/>
        </w:numPr>
        <w:spacing w:line="360" w:lineRule="auto"/>
        <w:jc w:val="both"/>
        <w:rPr>
          <w:rFonts w:ascii="Times New Roman" w:hAnsi="Times New Roman" w:cs="Times New Roman"/>
          <w:lang w:val="en-GB"/>
        </w:rPr>
      </w:pPr>
      <w:r w:rsidRPr="00B87A13">
        <w:rPr>
          <w:rFonts w:ascii="Times New Roman" w:hAnsi="Times New Roman" w:cs="Times New Roman"/>
          <w:lang w:val="en-GB"/>
        </w:rPr>
        <w:t xml:space="preserve">In 2019 </w:t>
      </w:r>
      <w:r w:rsidR="00A32D6A" w:rsidRPr="00B87A13">
        <w:rPr>
          <w:rFonts w:ascii="Times New Roman" w:hAnsi="Times New Roman" w:cs="Times New Roman"/>
          <w:lang w:val="en-GB"/>
        </w:rPr>
        <w:t xml:space="preserve">UNESCO’s Section of Education Policy and the UNESCO Institute for Lifelong Learning </w:t>
      </w:r>
      <w:r w:rsidR="00A35DC9" w:rsidRPr="00B87A13">
        <w:rPr>
          <w:rFonts w:ascii="Times New Roman" w:hAnsi="Times New Roman" w:cs="Times New Roman"/>
          <w:lang w:val="en-GB"/>
        </w:rPr>
        <w:t>are preparing</w:t>
      </w:r>
      <w:r w:rsidR="00A32D6A" w:rsidRPr="00B87A13">
        <w:rPr>
          <w:rFonts w:ascii="Times New Roman" w:hAnsi="Times New Roman" w:cs="Times New Roman"/>
          <w:lang w:val="en-GB"/>
        </w:rPr>
        <w:t xml:space="preserve"> a joint report on ‘Lifelong Learning: </w:t>
      </w:r>
      <w:proofErr w:type="gramStart"/>
      <w:r w:rsidR="00A32D6A" w:rsidRPr="00B87A13">
        <w:rPr>
          <w:rFonts w:ascii="Times New Roman" w:hAnsi="Times New Roman" w:cs="Times New Roman"/>
          <w:lang w:val="en-GB"/>
        </w:rPr>
        <w:t>Policy Im</w:t>
      </w:r>
      <w:bookmarkStart w:id="0" w:name="_GoBack"/>
      <w:bookmarkEnd w:id="0"/>
      <w:r w:rsidR="00A32D6A" w:rsidRPr="00B87A13">
        <w:rPr>
          <w:rFonts w:ascii="Times New Roman" w:hAnsi="Times New Roman" w:cs="Times New Roman"/>
          <w:lang w:val="en-GB"/>
        </w:rPr>
        <w:t>plications’</w:t>
      </w:r>
      <w:proofErr w:type="gramEnd"/>
      <w:r w:rsidR="00A32D6A" w:rsidRPr="00B87A13">
        <w:rPr>
          <w:rFonts w:ascii="Times New Roman" w:hAnsi="Times New Roman" w:cs="Times New Roman"/>
          <w:lang w:val="en-GB"/>
        </w:rPr>
        <w:t xml:space="preserve">. </w:t>
      </w:r>
    </w:p>
    <w:sectPr w:rsidR="008D5C5B" w:rsidRPr="00B87A13" w:rsidSect="00B87A13">
      <w:footerReference w:type="default" r:id="rId8"/>
      <w:pgSz w:w="11906" w:h="16838"/>
      <w:pgMar w:top="1135"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EC0" w:rsidRDefault="00501EC0" w:rsidP="004625F8">
      <w:pPr>
        <w:spacing w:after="0" w:line="240" w:lineRule="auto"/>
      </w:pPr>
      <w:r>
        <w:separator/>
      </w:r>
    </w:p>
  </w:endnote>
  <w:endnote w:type="continuationSeparator" w:id="0">
    <w:p w:rsidR="00501EC0" w:rsidRDefault="00501EC0" w:rsidP="0046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893963"/>
      <w:docPartObj>
        <w:docPartGallery w:val="Page Numbers (Bottom of Page)"/>
        <w:docPartUnique/>
      </w:docPartObj>
    </w:sdtPr>
    <w:sdtEndPr>
      <w:rPr>
        <w:noProof/>
      </w:rPr>
    </w:sdtEndPr>
    <w:sdtContent>
      <w:p w:rsidR="0069238A" w:rsidRDefault="00B87A13">
        <w:pPr>
          <w:pStyle w:val="Footer"/>
          <w:jc w:val="center"/>
        </w:pPr>
        <w:r>
          <w:t>-</w:t>
        </w:r>
        <w:r w:rsidR="00014516">
          <w:rPr>
            <w:noProof/>
          </w:rPr>
          <w:fldChar w:fldCharType="begin"/>
        </w:r>
        <w:r w:rsidR="00014516">
          <w:rPr>
            <w:noProof/>
          </w:rPr>
          <w:instrText xml:space="preserve"> PAGE   \* MERGEFORMAT </w:instrText>
        </w:r>
        <w:r w:rsidR="00014516">
          <w:rPr>
            <w:noProof/>
          </w:rPr>
          <w:fldChar w:fldCharType="separate"/>
        </w:r>
        <w:r w:rsidR="006F324D">
          <w:rPr>
            <w:noProof/>
          </w:rPr>
          <w:t>3</w:t>
        </w:r>
        <w:r w:rsidR="00014516">
          <w:rPr>
            <w:noProof/>
          </w:rPr>
          <w:fldChar w:fldCharType="end"/>
        </w:r>
        <w:r>
          <w:rPr>
            <w:noProof/>
          </w:rPr>
          <w:t>-</w:t>
        </w:r>
      </w:p>
    </w:sdtContent>
  </w:sdt>
  <w:p w:rsidR="0069238A" w:rsidRDefault="00692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EC0" w:rsidRDefault="00501EC0" w:rsidP="004625F8">
      <w:pPr>
        <w:spacing w:after="0" w:line="240" w:lineRule="auto"/>
      </w:pPr>
      <w:r>
        <w:separator/>
      </w:r>
    </w:p>
  </w:footnote>
  <w:footnote w:type="continuationSeparator" w:id="0">
    <w:p w:rsidR="00501EC0" w:rsidRDefault="00501EC0" w:rsidP="004625F8">
      <w:pPr>
        <w:spacing w:after="0" w:line="240" w:lineRule="auto"/>
      </w:pPr>
      <w:r>
        <w:continuationSeparator/>
      </w:r>
    </w:p>
  </w:footnote>
  <w:footnote w:id="1">
    <w:p w:rsidR="0069238A" w:rsidRPr="00840421" w:rsidRDefault="0069238A" w:rsidP="00A32D6A">
      <w:pPr>
        <w:pStyle w:val="NoSpacing"/>
        <w:rPr>
          <w:rFonts w:cstheme="minorHAnsi"/>
          <w:sz w:val="16"/>
          <w:szCs w:val="16"/>
        </w:rPr>
      </w:pPr>
      <w:r w:rsidRPr="00840421">
        <w:rPr>
          <w:rStyle w:val="FootnoteReference"/>
          <w:rFonts w:cstheme="minorHAnsi"/>
          <w:sz w:val="16"/>
          <w:szCs w:val="16"/>
        </w:rPr>
        <w:footnoteRef/>
      </w:r>
      <w:r w:rsidRPr="00840421">
        <w:rPr>
          <w:rFonts w:cstheme="minorHAnsi"/>
          <w:sz w:val="16"/>
          <w:szCs w:val="16"/>
        </w:rPr>
        <w:t xml:space="preserve"> General comment 13 - Right to education, ICESCR, para.22-24</w:t>
      </w:r>
    </w:p>
  </w:footnote>
  <w:footnote w:id="2">
    <w:p w:rsidR="0069238A" w:rsidRPr="00840421" w:rsidRDefault="0069238A" w:rsidP="00A32D6A">
      <w:pPr>
        <w:pStyle w:val="NoSpacing"/>
        <w:rPr>
          <w:rFonts w:cstheme="minorHAnsi"/>
          <w:sz w:val="16"/>
          <w:szCs w:val="16"/>
        </w:rPr>
      </w:pPr>
      <w:r w:rsidRPr="00840421">
        <w:rPr>
          <w:rStyle w:val="FootnoteReference"/>
          <w:rFonts w:cstheme="minorHAnsi"/>
          <w:sz w:val="16"/>
          <w:szCs w:val="16"/>
        </w:rPr>
        <w:footnoteRef/>
      </w:r>
      <w:r w:rsidRPr="00840421">
        <w:rPr>
          <w:rFonts w:cstheme="minorHAnsi"/>
          <w:sz w:val="16"/>
          <w:szCs w:val="16"/>
        </w:rPr>
        <w:t xml:space="preserve"> General comment 13 - Right to education, ICESCR, para.16</w:t>
      </w:r>
    </w:p>
  </w:footnote>
  <w:footnote w:id="3">
    <w:p w:rsidR="0069238A" w:rsidRPr="00840421" w:rsidRDefault="0069238A" w:rsidP="00A32D6A">
      <w:pPr>
        <w:pStyle w:val="NoSpacing"/>
        <w:rPr>
          <w:rFonts w:cstheme="minorHAnsi"/>
          <w:sz w:val="16"/>
          <w:szCs w:val="16"/>
        </w:rPr>
      </w:pPr>
      <w:r w:rsidRPr="00840421">
        <w:rPr>
          <w:rStyle w:val="FootnoteReference"/>
          <w:rFonts w:cstheme="minorHAnsi"/>
          <w:sz w:val="16"/>
          <w:szCs w:val="16"/>
        </w:rPr>
        <w:footnoteRef/>
      </w:r>
      <w:r w:rsidRPr="00840421">
        <w:rPr>
          <w:rFonts w:cstheme="minorHAnsi"/>
          <w:sz w:val="16"/>
          <w:szCs w:val="16"/>
        </w:rPr>
        <w:t xml:space="preserve"> 2015 Recommendation on Adult Learning and Education, Para. 11.</w:t>
      </w:r>
    </w:p>
  </w:footnote>
  <w:footnote w:id="4">
    <w:p w:rsidR="0069238A" w:rsidRPr="00064738" w:rsidRDefault="0069238A">
      <w:pPr>
        <w:pStyle w:val="FootnoteText"/>
        <w:rPr>
          <w:sz w:val="16"/>
          <w:szCs w:val="16"/>
        </w:rPr>
      </w:pPr>
      <w:r w:rsidRPr="00064738">
        <w:rPr>
          <w:rStyle w:val="FootnoteReference"/>
          <w:sz w:val="16"/>
          <w:szCs w:val="16"/>
        </w:rPr>
        <w:footnoteRef/>
      </w:r>
      <w:r w:rsidRPr="00064738">
        <w:rPr>
          <w:sz w:val="16"/>
          <w:szCs w:val="16"/>
        </w:rPr>
        <w:t xml:space="preserve"> </w:t>
      </w:r>
      <w:r>
        <w:rPr>
          <w:sz w:val="16"/>
          <w:szCs w:val="16"/>
        </w:rPr>
        <w:t>2015 Recommendation concerning Technical and Vocational Education and Training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0E05"/>
    <w:multiLevelType w:val="hybridMultilevel"/>
    <w:tmpl w:val="856AA2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5758D2"/>
    <w:multiLevelType w:val="hybridMultilevel"/>
    <w:tmpl w:val="89B436D8"/>
    <w:lvl w:ilvl="0" w:tplc="B464D0B6">
      <w:numFmt w:val="bullet"/>
      <w:lvlText w:val="-"/>
      <w:lvlJc w:val="left"/>
      <w:pPr>
        <w:ind w:left="1080" w:hanging="360"/>
      </w:pPr>
      <w:rPr>
        <w:rFonts w:ascii="Calibri" w:eastAsiaTheme="minorHAnsi" w:hAnsi="Calibri" w:cstheme="maj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41F"/>
    <w:rsid w:val="00014516"/>
    <w:rsid w:val="00064738"/>
    <w:rsid w:val="000B0620"/>
    <w:rsid w:val="00101B12"/>
    <w:rsid w:val="001627F2"/>
    <w:rsid w:val="001D6555"/>
    <w:rsid w:val="00222179"/>
    <w:rsid w:val="002A55C1"/>
    <w:rsid w:val="002C1BD2"/>
    <w:rsid w:val="003111F4"/>
    <w:rsid w:val="00335441"/>
    <w:rsid w:val="00455FCB"/>
    <w:rsid w:val="004625F8"/>
    <w:rsid w:val="00465072"/>
    <w:rsid w:val="004A3A33"/>
    <w:rsid w:val="00501EC0"/>
    <w:rsid w:val="0054741F"/>
    <w:rsid w:val="005651AF"/>
    <w:rsid w:val="00645B46"/>
    <w:rsid w:val="0069238A"/>
    <w:rsid w:val="006F324D"/>
    <w:rsid w:val="007A016C"/>
    <w:rsid w:val="00887A48"/>
    <w:rsid w:val="008D5C5B"/>
    <w:rsid w:val="00967E5A"/>
    <w:rsid w:val="00987088"/>
    <w:rsid w:val="00A32D6A"/>
    <w:rsid w:val="00A35DC9"/>
    <w:rsid w:val="00A857E0"/>
    <w:rsid w:val="00AD3CF6"/>
    <w:rsid w:val="00B768A9"/>
    <w:rsid w:val="00B87A13"/>
    <w:rsid w:val="00C77ABD"/>
    <w:rsid w:val="00C87F01"/>
    <w:rsid w:val="00D26B1A"/>
    <w:rsid w:val="00DC50E9"/>
    <w:rsid w:val="00DE155A"/>
    <w:rsid w:val="00E001C5"/>
    <w:rsid w:val="00EF2F4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4988"/>
  <w15:docId w15:val="{E0C84451-FE48-43D2-B211-08EEE76D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2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5F8"/>
    <w:rPr>
      <w:rFonts w:ascii="Segoe UI" w:hAnsi="Segoe UI" w:cs="Segoe UI"/>
      <w:sz w:val="18"/>
      <w:szCs w:val="18"/>
    </w:rPr>
  </w:style>
  <w:style w:type="paragraph" w:styleId="Header">
    <w:name w:val="header"/>
    <w:basedOn w:val="Normal"/>
    <w:link w:val="HeaderChar"/>
    <w:uiPriority w:val="99"/>
    <w:unhideWhenUsed/>
    <w:rsid w:val="00462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5F8"/>
  </w:style>
  <w:style w:type="paragraph" w:styleId="Footer">
    <w:name w:val="footer"/>
    <w:basedOn w:val="Normal"/>
    <w:link w:val="FooterChar"/>
    <w:uiPriority w:val="99"/>
    <w:unhideWhenUsed/>
    <w:rsid w:val="00462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5F8"/>
  </w:style>
  <w:style w:type="character" w:styleId="FootnoteReference">
    <w:name w:val="footnote reference"/>
    <w:aliases w:val="4_G,Footnote text,BVI fnr,BVI fnr Car Car,BVI fnr Car,BVI fnr Car Car Car Car,BVI fnr Char Car Car Car,BVI fnr Char Car Car Car Char,BVI fnr Car Car Car Car Char Char,BVI fnr Car Car Car Car Char Char Char Char Char,BVI fnr Char"/>
    <w:basedOn w:val="DefaultParagraphFont"/>
    <w:uiPriority w:val="99"/>
    <w:unhideWhenUsed/>
    <w:rsid w:val="00A32D6A"/>
    <w:rPr>
      <w:vertAlign w:val="superscript"/>
    </w:rPr>
  </w:style>
  <w:style w:type="paragraph" w:styleId="NoSpacing">
    <w:name w:val="No Spacing"/>
    <w:uiPriority w:val="1"/>
    <w:qFormat/>
    <w:rsid w:val="00A32D6A"/>
    <w:pPr>
      <w:spacing w:after="0" w:line="240" w:lineRule="auto"/>
    </w:pPr>
  </w:style>
  <w:style w:type="paragraph" w:styleId="ListParagraph">
    <w:name w:val="List Paragraph"/>
    <w:basedOn w:val="Normal"/>
    <w:uiPriority w:val="34"/>
    <w:qFormat/>
    <w:rsid w:val="00A32D6A"/>
    <w:pPr>
      <w:ind w:left="720"/>
      <w:contextualSpacing/>
    </w:pPr>
    <w:rPr>
      <w:lang w:val="fr-FR"/>
    </w:rPr>
  </w:style>
  <w:style w:type="paragraph" w:styleId="FootnoteText">
    <w:name w:val="footnote text"/>
    <w:basedOn w:val="Normal"/>
    <w:link w:val="FootnoteTextChar"/>
    <w:uiPriority w:val="99"/>
    <w:semiHidden/>
    <w:unhideWhenUsed/>
    <w:rsid w:val="000647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47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494517">
      <w:bodyDiv w:val="1"/>
      <w:marLeft w:val="0"/>
      <w:marRight w:val="0"/>
      <w:marTop w:val="0"/>
      <w:marBottom w:val="0"/>
      <w:divBdr>
        <w:top w:val="none" w:sz="0" w:space="0" w:color="auto"/>
        <w:left w:val="none" w:sz="0" w:space="0" w:color="auto"/>
        <w:bottom w:val="none" w:sz="0" w:space="0" w:color="auto"/>
        <w:right w:val="none" w:sz="0" w:space="0" w:color="auto"/>
      </w:divBdr>
    </w:div>
    <w:div w:id="1834368109">
      <w:bodyDiv w:val="1"/>
      <w:marLeft w:val="0"/>
      <w:marRight w:val="0"/>
      <w:marTop w:val="0"/>
      <w:marBottom w:val="0"/>
      <w:divBdr>
        <w:top w:val="none" w:sz="0" w:space="0" w:color="auto"/>
        <w:left w:val="none" w:sz="0" w:space="0" w:color="auto"/>
        <w:bottom w:val="none" w:sz="0" w:space="0" w:color="auto"/>
        <w:right w:val="none" w:sz="0" w:space="0" w:color="auto"/>
      </w:divBdr>
    </w:div>
    <w:div w:id="18987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FB6A0-8CD5-431A-BE1B-CB92F57D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Holmes</dc:creator>
  <cp:keywords/>
  <dc:description/>
  <cp:lastModifiedBy>Aguiar, Violeta</cp:lastModifiedBy>
  <cp:revision>2</cp:revision>
  <cp:lastPrinted>2019-01-21T16:01:00Z</cp:lastPrinted>
  <dcterms:created xsi:type="dcterms:W3CDTF">2019-02-12T15:15:00Z</dcterms:created>
  <dcterms:modified xsi:type="dcterms:W3CDTF">2019-02-12T15:15:00Z</dcterms:modified>
</cp:coreProperties>
</file>